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4CEA" w14:textId="77777777" w:rsidR="00AC2494" w:rsidRPr="00AC2494" w:rsidRDefault="00AC2494" w:rsidP="00AC2494">
      <w:pPr>
        <w:pStyle w:val="StandardWeb"/>
        <w:jc w:val="center"/>
        <w:rPr>
          <w:lang w:val="en-US"/>
        </w:rPr>
      </w:pPr>
      <w:r w:rsidRPr="00AC2494">
        <w:rPr>
          <w:rFonts w:ascii="Garamond" w:hAnsi="Garamond"/>
          <w:b/>
          <w:bCs/>
          <w:sz w:val="28"/>
          <w:szCs w:val="28"/>
          <w:lang w:val="en-US"/>
        </w:rPr>
        <w:t xml:space="preserve">2019 </w:t>
      </w:r>
    </w:p>
    <w:p w14:paraId="03C19516" w14:textId="77777777" w:rsidR="00AC2494" w:rsidRPr="00AC2494" w:rsidRDefault="00AC2494" w:rsidP="00AC2494">
      <w:pPr>
        <w:pStyle w:val="StandardWeb"/>
        <w:rPr>
          <w:lang w:val="en-US"/>
        </w:rPr>
      </w:pPr>
      <w:r w:rsidRPr="00AC2494">
        <w:rPr>
          <w:rFonts w:ascii="Garamond" w:hAnsi="Garamond"/>
          <w:sz w:val="28"/>
          <w:szCs w:val="28"/>
          <w:lang w:val="en-US"/>
        </w:rPr>
        <w:t xml:space="preserve">Routes toward Personhood: Response to Markus Rothhaar, in </w:t>
      </w:r>
      <w:r w:rsidRPr="00AC2494">
        <w:rPr>
          <w:rFonts w:ascii="Garamond" w:hAnsi="Garamond"/>
          <w:i/>
          <w:iCs/>
          <w:sz w:val="28"/>
          <w:szCs w:val="28"/>
          <w:lang w:val="en-US"/>
        </w:rPr>
        <w:t xml:space="preserve">Nova et Vetera </w:t>
      </w:r>
      <w:r w:rsidRPr="00AC2494">
        <w:rPr>
          <w:rFonts w:ascii="Garamond" w:hAnsi="Garamond"/>
          <w:sz w:val="28"/>
          <w:szCs w:val="28"/>
          <w:lang w:val="en-US"/>
        </w:rPr>
        <w:t xml:space="preserve">(English), Spring 2019 (Vol. 17, No. 2) 489-499. </w:t>
      </w:r>
    </w:p>
    <w:p w14:paraId="34812BEF" w14:textId="77777777" w:rsidR="00AC2494" w:rsidRPr="00AC2494" w:rsidRDefault="00AC2494" w:rsidP="00AC2494">
      <w:pPr>
        <w:pStyle w:val="StandardWeb"/>
        <w:rPr>
          <w:lang w:val="en-US"/>
        </w:rPr>
      </w:pPr>
      <w:r w:rsidRPr="00AC2494">
        <w:rPr>
          <w:rFonts w:ascii="Garamond" w:hAnsi="Garamond"/>
          <w:sz w:val="28"/>
          <w:szCs w:val="28"/>
          <w:lang w:val="en-US"/>
        </w:rPr>
        <w:t xml:space="preserve">The Limits of Univocity in Interreligious Relationality, in: Balàzs M. Mezei and Matthew Z. Vale (ed.), </w:t>
      </w:r>
      <w:r w:rsidRPr="00AC2494">
        <w:rPr>
          <w:rFonts w:ascii="Garamond" w:hAnsi="Garamond"/>
          <w:i/>
          <w:iCs/>
          <w:sz w:val="28"/>
          <w:szCs w:val="28"/>
          <w:lang w:val="en-US"/>
        </w:rPr>
        <w:t xml:space="preserve">Philosophies of Christianity. At the Crossroads of Contemporary Problems </w:t>
      </w:r>
      <w:r w:rsidRPr="00AC2494">
        <w:rPr>
          <w:rFonts w:ascii="Garamond" w:hAnsi="Garamond"/>
          <w:sz w:val="28"/>
          <w:szCs w:val="28"/>
          <w:lang w:val="en-US"/>
        </w:rPr>
        <w:t xml:space="preserve">(Heidelberg et al., Springer 2019) 67-95. </w:t>
      </w:r>
    </w:p>
    <w:p w14:paraId="5A7F397A" w14:textId="77777777" w:rsidR="00AC2494" w:rsidRDefault="00AC2494" w:rsidP="00AC2494">
      <w:pPr>
        <w:pStyle w:val="StandardWeb"/>
      </w:pPr>
      <w:r>
        <w:rPr>
          <w:rFonts w:ascii="Garamond" w:hAnsi="Garamond"/>
          <w:sz w:val="28"/>
          <w:szCs w:val="28"/>
        </w:rPr>
        <w:t>„Fœdera pluries“ und „Gnade gefunden ... vom Anbeginn der Welt“. Vorabrahamitische Religionen aus der Sicht der Dominikanertheologie vor 1280</w:t>
      </w:r>
      <w:r>
        <w:rPr>
          <w:rFonts w:ascii="Garamond" w:hAnsi="Garamond"/>
          <w:color w:val="262635"/>
          <w:sz w:val="28"/>
          <w:szCs w:val="28"/>
        </w:rPr>
        <w:t xml:space="preserve">, in: Markus Enders und Bernd Goebel (ed.), </w:t>
      </w:r>
      <w:r>
        <w:rPr>
          <w:rFonts w:ascii="Garamond" w:hAnsi="Garamond"/>
          <w:i/>
          <w:iCs/>
          <w:color w:val="262635"/>
          <w:sz w:val="28"/>
          <w:szCs w:val="28"/>
        </w:rPr>
        <w:t>Die Philosophie der monotheistischen Weltreligionen im fru</w:t>
      </w:r>
      <w:r>
        <w:rPr>
          <w:i/>
          <w:iCs/>
          <w:color w:val="262635"/>
          <w:sz w:val="28"/>
          <w:szCs w:val="28"/>
        </w:rPr>
        <w:t>̈</w:t>
      </w:r>
      <w:r>
        <w:rPr>
          <w:rFonts w:ascii="Garamond" w:hAnsi="Garamond"/>
          <w:i/>
          <w:iCs/>
          <w:color w:val="262635"/>
          <w:sz w:val="28"/>
          <w:szCs w:val="28"/>
        </w:rPr>
        <w:t xml:space="preserve">hen und hohen Mittelalter </w:t>
      </w:r>
      <w:r>
        <w:rPr>
          <w:rFonts w:ascii="Garamond" w:hAnsi="Garamond"/>
          <w:b/>
          <w:bCs/>
          <w:color w:val="262635"/>
          <w:sz w:val="28"/>
          <w:szCs w:val="28"/>
        </w:rPr>
        <w:t>(</w:t>
      </w:r>
      <w:r>
        <w:rPr>
          <w:rFonts w:ascii="Garamond" w:hAnsi="Garamond"/>
          <w:color w:val="262635"/>
          <w:sz w:val="28"/>
          <w:szCs w:val="28"/>
        </w:rPr>
        <w:t>Christliche, ju</w:t>
      </w:r>
      <w:r>
        <w:rPr>
          <w:color w:val="262635"/>
          <w:sz w:val="28"/>
          <w:szCs w:val="28"/>
        </w:rPr>
        <w:t>̈</w:t>
      </w:r>
      <w:r>
        <w:rPr>
          <w:rFonts w:ascii="Garamond" w:hAnsi="Garamond"/>
          <w:color w:val="262635"/>
          <w:sz w:val="28"/>
          <w:szCs w:val="28"/>
        </w:rPr>
        <w:t>dische und islamische Denker im Gespra</w:t>
      </w:r>
      <w:r>
        <w:rPr>
          <w:color w:val="262635"/>
          <w:sz w:val="28"/>
          <w:szCs w:val="28"/>
        </w:rPr>
        <w:t>̈</w:t>
      </w:r>
      <w:r>
        <w:rPr>
          <w:rFonts w:ascii="Garamond" w:hAnsi="Garamond"/>
          <w:color w:val="262635"/>
          <w:sz w:val="28"/>
          <w:szCs w:val="28"/>
        </w:rPr>
        <w:t xml:space="preserve">ch 888, Fuldauer Studien, 24) Freiburg im Breisgau, Herder 2019, 369-380. </w:t>
      </w:r>
    </w:p>
    <w:p w14:paraId="5DCCEC5D" w14:textId="77777777" w:rsidR="00AC2494" w:rsidRDefault="00AC2494" w:rsidP="00AC2494">
      <w:pPr>
        <w:pStyle w:val="StandardWeb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Erkenntnistheoretischer Pilgerstand. Historische Thomas-Interpretation und Richard Schaefflers transzendentalphilosophische Einu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bung in die Theologie, in: Christoph Bo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 xml:space="preserve">hr und Hanna-Barbara Gerl-Falkovitz (Hrsg.), </w:t>
      </w:r>
      <w:r>
        <w:rPr>
          <w:rFonts w:ascii="Garamond" w:hAnsi="Garamond"/>
          <w:i/>
          <w:iCs/>
          <w:sz w:val="28"/>
          <w:szCs w:val="28"/>
        </w:rPr>
        <w:t xml:space="preserve">Gott denken. Die Philosophie der Religion </w:t>
      </w:r>
      <w:r>
        <w:rPr>
          <w:rFonts w:ascii="Garamond" w:hAnsi="Garamond"/>
          <w:sz w:val="28"/>
          <w:szCs w:val="28"/>
        </w:rPr>
        <w:t xml:space="preserve">(Heidelberg et al., Springer 2019) 35-50. </w:t>
      </w:r>
    </w:p>
    <w:p w14:paraId="6F573B1A" w14:textId="77777777" w:rsidR="00AC2494" w:rsidRPr="00AC2494" w:rsidRDefault="00AC2494" w:rsidP="00AC2494">
      <w:pPr>
        <w:pStyle w:val="StandardWeb"/>
        <w:rPr>
          <w:lang w:val="en-US"/>
        </w:rPr>
      </w:pPr>
    </w:p>
    <w:p w14:paraId="0699C22D" w14:textId="77777777" w:rsidR="00AC2494" w:rsidRDefault="00AC2494" w:rsidP="00AC2494">
      <w:pPr>
        <w:pStyle w:val="StandardWeb"/>
        <w:jc w:val="center"/>
      </w:pPr>
      <w:r>
        <w:rPr>
          <w:rFonts w:ascii="Garamond" w:hAnsi="Garamond"/>
          <w:b/>
          <w:bCs/>
          <w:sz w:val="28"/>
          <w:szCs w:val="28"/>
        </w:rPr>
        <w:t xml:space="preserve">2020 </w:t>
      </w:r>
    </w:p>
    <w:p w14:paraId="53BAE527" w14:textId="77777777" w:rsidR="00AC2494" w:rsidRDefault="00AC2494" w:rsidP="00AC2494">
      <w:pPr>
        <w:pStyle w:val="StandardWeb"/>
      </w:pPr>
      <w:r>
        <w:rPr>
          <w:rFonts w:ascii="Garamond" w:hAnsi="Garamond"/>
          <w:i/>
          <w:iCs/>
          <w:sz w:val="28"/>
          <w:szCs w:val="28"/>
        </w:rPr>
        <w:t xml:space="preserve">Reditio incompleta in seipsum. </w:t>
      </w:r>
      <w:r>
        <w:rPr>
          <w:rFonts w:ascii="Garamond" w:hAnsi="Garamond"/>
          <w:sz w:val="28"/>
          <w:szCs w:val="28"/>
        </w:rPr>
        <w:t>Verwandlungen eines platonischen Axioms als Leitfaden einer ku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nftigen Metaphysik, in: Christoph Bo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 xml:space="preserve">hr (Hrsg.), </w:t>
      </w:r>
      <w:r>
        <w:rPr>
          <w:rFonts w:ascii="Garamond" w:hAnsi="Garamond"/>
          <w:i/>
          <w:iCs/>
          <w:sz w:val="28"/>
          <w:szCs w:val="28"/>
        </w:rPr>
        <w:t>Metaphysik. Von einem unabweislichen Bedu</w:t>
      </w:r>
      <w:r>
        <w:rPr>
          <w:i/>
          <w:iCs/>
          <w:sz w:val="28"/>
          <w:szCs w:val="28"/>
        </w:rPr>
        <w:t>̈</w:t>
      </w:r>
      <w:r>
        <w:rPr>
          <w:rFonts w:ascii="Garamond" w:hAnsi="Garamond"/>
          <w:i/>
          <w:iCs/>
          <w:sz w:val="28"/>
          <w:szCs w:val="28"/>
        </w:rPr>
        <w:t xml:space="preserve">rfnis der menschlichen Vernunft. Rémi Brague zu Ehren </w:t>
      </w:r>
      <w:r>
        <w:rPr>
          <w:rFonts w:ascii="Garamond" w:hAnsi="Garamond"/>
          <w:sz w:val="28"/>
          <w:szCs w:val="28"/>
        </w:rPr>
        <w:t xml:space="preserve">(Wiesbaden, Springer VS 2020) 327-339. </w:t>
      </w:r>
    </w:p>
    <w:p w14:paraId="43F5FAD6" w14:textId="77777777" w:rsidR="00AC2494" w:rsidRPr="00AC2494" w:rsidRDefault="00AC2494" w:rsidP="00AC2494">
      <w:pPr>
        <w:pStyle w:val="StandardWeb"/>
        <w:rPr>
          <w:lang w:val="en-US"/>
        </w:rPr>
      </w:pPr>
      <w:r w:rsidRPr="00AC2494">
        <w:rPr>
          <w:rFonts w:ascii="Garamond" w:hAnsi="Garamond"/>
          <w:sz w:val="28"/>
          <w:szCs w:val="28"/>
          <w:lang w:val="en-US"/>
        </w:rPr>
        <w:t xml:space="preserve">True and False Ecumenism in the Church in Light of Karl Barth's Questions at an Apostolic Threshold, in: </w:t>
      </w:r>
      <w:r w:rsidRPr="00AC2494">
        <w:rPr>
          <w:rFonts w:ascii="Garamond" w:hAnsi="Garamond"/>
          <w:i/>
          <w:iCs/>
          <w:color w:val="212121"/>
          <w:sz w:val="28"/>
          <w:szCs w:val="28"/>
          <w:lang w:val="en-US"/>
        </w:rPr>
        <w:t xml:space="preserve">Dogma and Ecumenism </w:t>
      </w:r>
    </w:p>
    <w:p w14:paraId="0EC5DB1F" w14:textId="77777777" w:rsidR="00AC2494" w:rsidRDefault="00AC2494" w:rsidP="00AC2494">
      <w:pPr>
        <w:pStyle w:val="StandardWeb"/>
      </w:pPr>
      <w:r>
        <w:rPr>
          <w:rFonts w:ascii="Garamond" w:hAnsi="Garamond"/>
          <w:sz w:val="28"/>
          <w:szCs w:val="28"/>
        </w:rPr>
        <w:t>Von der Hoffnung, Person zu sein, in: Christoph Bo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hr und Wolfgang Buchmu</w:t>
      </w:r>
      <w:r>
        <w:rPr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 xml:space="preserve">ller (Hg.), </w:t>
      </w:r>
      <w:r>
        <w:rPr>
          <w:rFonts w:ascii="Garamond" w:hAnsi="Garamond"/>
          <w:i/>
          <w:iCs/>
          <w:sz w:val="28"/>
          <w:szCs w:val="28"/>
        </w:rPr>
        <w:t>Das Gute, Wahre und Scho</w:t>
      </w:r>
      <w:r>
        <w:rPr>
          <w:i/>
          <w:iCs/>
          <w:sz w:val="28"/>
          <w:szCs w:val="28"/>
        </w:rPr>
        <w:t>̈</w:t>
      </w:r>
      <w:r>
        <w:rPr>
          <w:rFonts w:ascii="Garamond" w:hAnsi="Garamond"/>
          <w:i/>
          <w:iCs/>
          <w:sz w:val="28"/>
          <w:szCs w:val="28"/>
        </w:rPr>
        <w:t>ne. Zur Aktualita</w:t>
      </w:r>
      <w:r>
        <w:rPr>
          <w:i/>
          <w:iCs/>
          <w:sz w:val="28"/>
          <w:szCs w:val="28"/>
        </w:rPr>
        <w:t>̈</w:t>
      </w:r>
      <w:r>
        <w:rPr>
          <w:rFonts w:ascii="Garamond" w:hAnsi="Garamond"/>
          <w:i/>
          <w:iCs/>
          <w:sz w:val="28"/>
          <w:szCs w:val="28"/>
        </w:rPr>
        <w:t xml:space="preserve">t der Lehre von den Transzendentalien </w:t>
      </w:r>
      <w:r>
        <w:rPr>
          <w:rFonts w:ascii="Garamond" w:hAnsi="Garamond"/>
          <w:sz w:val="28"/>
          <w:szCs w:val="28"/>
        </w:rPr>
        <w:t xml:space="preserve">(Ambo. Jahrbuch der Hochschule Heiligenkreuz 2020), Heiligenkreuz im Wienerwald 2020, 406-43, Nachdruck aus: Richard Schenk (Hg.), </w:t>
      </w:r>
      <w:r>
        <w:rPr>
          <w:rFonts w:ascii="Garamond" w:hAnsi="Garamond"/>
          <w:i/>
          <w:iCs/>
          <w:sz w:val="28"/>
          <w:szCs w:val="28"/>
        </w:rPr>
        <w:t>Kontinuita</w:t>
      </w:r>
      <w:r>
        <w:rPr>
          <w:i/>
          <w:iCs/>
          <w:sz w:val="28"/>
          <w:szCs w:val="28"/>
        </w:rPr>
        <w:t>̈</w:t>
      </w:r>
      <w:r>
        <w:rPr>
          <w:rFonts w:ascii="Garamond" w:hAnsi="Garamond"/>
          <w:i/>
          <w:iCs/>
          <w:sz w:val="28"/>
          <w:szCs w:val="28"/>
        </w:rPr>
        <w:t xml:space="preserve">t der Person. Zum Versprechen und Vertrauen </w:t>
      </w:r>
      <w:r>
        <w:rPr>
          <w:rFonts w:ascii="Garamond" w:hAnsi="Garamond"/>
          <w:sz w:val="28"/>
          <w:szCs w:val="28"/>
        </w:rPr>
        <w:t xml:space="preserve">(Collegium Philosophicum, Vol. 2) Stuttgart-Bad Cannstatt 1998, 147-177. </w:t>
      </w:r>
    </w:p>
    <w:p w14:paraId="6B6DCAC9" w14:textId="77777777" w:rsidR="00745349" w:rsidRDefault="00745349" w:rsidP="00485D7E"/>
    <w:p w14:paraId="37C50428" w14:textId="77777777" w:rsidR="00971A2F" w:rsidRPr="00AC2494" w:rsidRDefault="00971A2F" w:rsidP="00971A2F">
      <w:pPr>
        <w:pStyle w:val="StandardWeb"/>
        <w:jc w:val="center"/>
        <w:rPr>
          <w:lang w:val="en-US"/>
        </w:rPr>
      </w:pPr>
      <w:r>
        <w:tab/>
      </w:r>
      <w:r w:rsidRPr="00AC2494">
        <w:rPr>
          <w:rFonts w:ascii="Garamond" w:hAnsi="Garamond"/>
          <w:b/>
          <w:bCs/>
          <w:sz w:val="28"/>
          <w:szCs w:val="28"/>
          <w:lang w:val="en-US"/>
        </w:rPr>
        <w:t xml:space="preserve">2021 </w:t>
      </w:r>
    </w:p>
    <w:p w14:paraId="1C3D572A" w14:textId="77777777" w:rsidR="00971A2F" w:rsidRPr="00AC2494" w:rsidRDefault="00971A2F" w:rsidP="00971A2F">
      <w:pPr>
        <w:pStyle w:val="StandardWeb"/>
        <w:rPr>
          <w:lang w:val="en-US"/>
        </w:rPr>
      </w:pPr>
      <w:r w:rsidRPr="00AC2494">
        <w:rPr>
          <w:rFonts w:ascii="Garamond" w:hAnsi="Garamond"/>
          <w:sz w:val="28"/>
          <w:szCs w:val="28"/>
          <w:lang w:val="en-US"/>
        </w:rPr>
        <w:t xml:space="preserve">Places and Times: Searching for a Theological </w:t>
      </w:r>
      <w:r w:rsidRPr="00AC2494">
        <w:rPr>
          <w:rFonts w:ascii="Garamond" w:hAnsi="Garamond"/>
          <w:i/>
          <w:iCs/>
          <w:sz w:val="28"/>
          <w:szCs w:val="28"/>
          <w:lang w:val="en-US"/>
        </w:rPr>
        <w:t>Topica</w:t>
      </w:r>
      <w:r w:rsidRPr="00AC2494">
        <w:rPr>
          <w:rFonts w:ascii="Garamond" w:hAnsi="Garamond"/>
          <w:sz w:val="28"/>
          <w:szCs w:val="28"/>
          <w:lang w:val="en-US"/>
        </w:rPr>
        <w:t xml:space="preserve">, in: </w:t>
      </w:r>
      <w:r w:rsidRPr="00AC2494">
        <w:rPr>
          <w:rFonts w:ascii="Garamond" w:hAnsi="Garamond"/>
          <w:i/>
          <w:iCs/>
          <w:sz w:val="28"/>
          <w:szCs w:val="28"/>
          <w:lang w:val="en-US"/>
        </w:rPr>
        <w:t xml:space="preserve">Nova et Vetera, </w:t>
      </w:r>
      <w:r w:rsidRPr="00AC2494">
        <w:rPr>
          <w:rFonts w:ascii="Garamond" w:hAnsi="Garamond"/>
          <w:sz w:val="28"/>
          <w:szCs w:val="28"/>
          <w:lang w:val="en-US"/>
        </w:rPr>
        <w:t xml:space="preserve">English Edition, Vol. 19, No. 1 (2021): 163-189. </w:t>
      </w:r>
    </w:p>
    <w:p w14:paraId="7845978F" w14:textId="77777777" w:rsidR="00971A2F" w:rsidRPr="00AC2494" w:rsidRDefault="00971A2F" w:rsidP="00971A2F">
      <w:pPr>
        <w:pStyle w:val="StandardWeb"/>
        <w:rPr>
          <w:lang w:val="en-US"/>
        </w:rPr>
      </w:pPr>
      <w:r w:rsidRPr="00AC2494">
        <w:rPr>
          <w:rFonts w:ascii="Garamond" w:hAnsi="Garamond"/>
          <w:sz w:val="28"/>
          <w:szCs w:val="28"/>
          <w:lang w:val="en-US"/>
        </w:rPr>
        <w:lastRenderedPageBreak/>
        <w:t xml:space="preserve">The Articulation of Faith Between Memory and Recollection, in: John Cavadini and Donald Wallenfang (ed.), </w:t>
      </w:r>
      <w:r w:rsidRPr="00AC2494">
        <w:rPr>
          <w:rFonts w:ascii="Garamond" w:hAnsi="Garamond"/>
          <w:i/>
          <w:iCs/>
          <w:color w:val="0C0F0F"/>
          <w:sz w:val="28"/>
          <w:szCs w:val="28"/>
          <w:lang w:val="en-US"/>
        </w:rPr>
        <w:t xml:space="preserve">Gift to the Church and World: Fifty Years of Joseph Ratzinger's Introduction to Christianity </w:t>
      </w:r>
      <w:r w:rsidRPr="00AC2494">
        <w:rPr>
          <w:rFonts w:ascii="Garamond" w:hAnsi="Garamond"/>
          <w:color w:val="0C0F0F"/>
          <w:sz w:val="28"/>
          <w:szCs w:val="28"/>
          <w:lang w:val="en-US"/>
        </w:rPr>
        <w:t xml:space="preserve">(Global Perspectives on the New Evangelization, Band 3, Eugene, Wipf &amp; Stock, 2021) 24-43. </w:t>
      </w:r>
    </w:p>
    <w:p w14:paraId="20D436B9" w14:textId="77777777" w:rsidR="00971A2F" w:rsidRPr="00AC2494" w:rsidRDefault="00971A2F" w:rsidP="00971A2F">
      <w:pPr>
        <w:pStyle w:val="StandardWeb"/>
        <w:jc w:val="center"/>
        <w:rPr>
          <w:lang w:val="en-US"/>
        </w:rPr>
      </w:pPr>
      <w:r w:rsidRPr="00AC2494">
        <w:rPr>
          <w:rFonts w:ascii="Garamond" w:hAnsi="Garamond"/>
          <w:b/>
          <w:bCs/>
          <w:sz w:val="28"/>
          <w:szCs w:val="28"/>
          <w:lang w:val="en-US"/>
        </w:rPr>
        <w:t xml:space="preserve">2022 </w:t>
      </w:r>
    </w:p>
    <w:p w14:paraId="08440EBC" w14:textId="77777777" w:rsidR="00971A2F" w:rsidRPr="00AC2494" w:rsidRDefault="00971A2F" w:rsidP="00971A2F">
      <w:pPr>
        <w:pStyle w:val="StandardWeb"/>
        <w:rPr>
          <w:lang w:val="en-US"/>
        </w:rPr>
      </w:pPr>
      <w:r w:rsidRPr="00AC2494">
        <w:rPr>
          <w:rFonts w:ascii="Garamond" w:hAnsi="Garamond"/>
          <w:i/>
          <w:iCs/>
          <w:sz w:val="28"/>
          <w:szCs w:val="28"/>
          <w:lang w:val="en-US"/>
        </w:rPr>
        <w:t xml:space="preserve">Revelations of Humanity. Anthropological Dimensions of Theological Controversies </w:t>
      </w:r>
      <w:r w:rsidRPr="00AC2494">
        <w:rPr>
          <w:rFonts w:ascii="Garamond" w:hAnsi="Garamond"/>
          <w:sz w:val="28"/>
          <w:szCs w:val="28"/>
          <w:lang w:val="en-US"/>
        </w:rPr>
        <w:t xml:space="preserve">(Washington, D.C., 2022) </w:t>
      </w:r>
    </w:p>
    <w:p w14:paraId="35F5E643" w14:textId="77777777" w:rsidR="00971A2F" w:rsidRDefault="00971A2F" w:rsidP="00971A2F">
      <w:pPr>
        <w:pStyle w:val="StandardWeb"/>
      </w:pPr>
      <w:r>
        <w:rPr>
          <w:rFonts w:ascii="Garamond" w:hAnsi="Garamond"/>
          <w:color w:val="545454"/>
          <w:sz w:val="28"/>
          <w:szCs w:val="28"/>
        </w:rPr>
        <w:t>Das Assimilierungsvermo</w:t>
      </w:r>
      <w:r>
        <w:rPr>
          <w:color w:val="545454"/>
          <w:sz w:val="28"/>
          <w:szCs w:val="28"/>
        </w:rPr>
        <w:t>̈</w:t>
      </w:r>
      <w:r>
        <w:rPr>
          <w:rFonts w:ascii="Garamond" w:hAnsi="Garamond"/>
          <w:color w:val="545454"/>
          <w:sz w:val="28"/>
          <w:szCs w:val="28"/>
        </w:rPr>
        <w:t>gen und die Idee der Universita</w:t>
      </w:r>
      <w:r>
        <w:rPr>
          <w:color w:val="545454"/>
          <w:sz w:val="28"/>
          <w:szCs w:val="28"/>
        </w:rPr>
        <w:t>̈</w:t>
      </w:r>
      <w:r>
        <w:rPr>
          <w:rFonts w:ascii="Garamond" w:hAnsi="Garamond"/>
          <w:color w:val="545454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, in: Peter Becker, Marianne Schlosser und Paul Wodrazka (Hg.): </w:t>
      </w:r>
      <w:r>
        <w:rPr>
          <w:rFonts w:ascii="Garamond" w:hAnsi="Garamond"/>
          <w:i/>
          <w:iCs/>
          <w:sz w:val="28"/>
          <w:szCs w:val="28"/>
        </w:rPr>
        <w:t xml:space="preserve">John Henry Newman – Welt Gottes und Wahrheit des Menschen </w:t>
      </w:r>
      <w:r>
        <w:rPr>
          <w:rFonts w:ascii="Garamond" w:hAnsi="Garamond"/>
          <w:sz w:val="28"/>
          <w:szCs w:val="28"/>
        </w:rPr>
        <w:t xml:space="preserve">(Freiburg 2022), 75-89. </w:t>
      </w:r>
    </w:p>
    <w:p w14:paraId="358F795F" w14:textId="77777777" w:rsidR="00971A2F" w:rsidRDefault="00971A2F" w:rsidP="00971A2F">
      <w:pPr>
        <w:pStyle w:val="StandardWeb"/>
      </w:pPr>
      <w:r>
        <w:rPr>
          <w:rFonts w:ascii="Garamond" w:hAnsi="Garamond"/>
          <w:sz w:val="28"/>
          <w:szCs w:val="28"/>
        </w:rPr>
        <w:t xml:space="preserve">Eine „zehnte“ Gebetsweise des hl. Dominikus? In: </w:t>
      </w:r>
      <w:r>
        <w:rPr>
          <w:rFonts w:ascii="Garamond" w:hAnsi="Garamond"/>
          <w:i/>
          <w:iCs/>
          <w:sz w:val="28"/>
          <w:szCs w:val="28"/>
        </w:rPr>
        <w:t xml:space="preserve">kontakt </w:t>
      </w:r>
      <w:r>
        <w:rPr>
          <w:rFonts w:ascii="Garamond" w:hAnsi="Garamond"/>
          <w:sz w:val="28"/>
          <w:szCs w:val="28"/>
        </w:rPr>
        <w:t xml:space="preserve">49 (2021/2022) 6-9. </w:t>
      </w:r>
    </w:p>
    <w:p w14:paraId="3B7ADE7F" w14:textId="1BECB92D" w:rsidR="00971A2F" w:rsidRDefault="00971A2F" w:rsidP="00B96C61">
      <w:pPr>
        <w:pStyle w:val="StandardWeb"/>
      </w:pPr>
      <w:r>
        <w:rPr>
          <w:rFonts w:ascii="Garamond" w:hAnsi="Garamond"/>
          <w:sz w:val="28"/>
          <w:szCs w:val="28"/>
        </w:rPr>
        <w:t>Von der Hoffnung, Person zu sein. Scholastische Pra</w:t>
      </w:r>
      <w:r>
        <w:rPr>
          <w:rFonts w:ascii="TimesNewRomanPSMT" w:hAnsi="TimesNewRomanPSMT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figuration und moderne Refiguration der Frage nach dem Sein des Menschen, in: Christoph Bo</w:t>
      </w:r>
      <w:r>
        <w:rPr>
          <w:rFonts w:ascii="TimesNewRomanPSMT" w:hAnsi="TimesNewRomanPSMT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hr und Wolfgang Buchmu</w:t>
      </w:r>
      <w:r>
        <w:rPr>
          <w:rFonts w:ascii="TimesNewRomanPSMT" w:hAnsi="TimesNewRomanPSMT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 xml:space="preserve">ller (Hg.), </w:t>
      </w:r>
      <w:r>
        <w:rPr>
          <w:rFonts w:ascii="Garamond" w:hAnsi="Garamond"/>
          <w:i/>
          <w:iCs/>
          <w:sz w:val="28"/>
          <w:szCs w:val="28"/>
        </w:rPr>
        <w:t xml:space="preserve">Sein und Seiendes. Ens, unum, bonum, verum: die Erkenntnislehre der Transzendentalien als Seinsbestimmungen und ihre fortwirkende Bedeutung in der Gegenwart </w:t>
      </w:r>
      <w:r>
        <w:rPr>
          <w:rFonts w:ascii="Garamond" w:hAnsi="Garamond"/>
          <w:sz w:val="28"/>
          <w:szCs w:val="28"/>
        </w:rPr>
        <w:t>(Wiesbaden 2022) 503-524, erstmals vero</w:t>
      </w:r>
      <w:r>
        <w:rPr>
          <w:rFonts w:ascii="TimesNewRomanPSMT" w:hAnsi="TimesNewRomanPSMT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 xml:space="preserve">ffentlicht als </w:t>
      </w:r>
      <w:r>
        <w:rPr>
          <w:rFonts w:ascii="Garamond" w:hAnsi="Garamond"/>
          <w:i/>
          <w:iCs/>
          <w:sz w:val="28"/>
          <w:szCs w:val="28"/>
        </w:rPr>
        <w:t>Kontinuita</w:t>
      </w:r>
      <w:r>
        <w:rPr>
          <w:rFonts w:ascii="TimesNewRomanPS" w:hAnsi="TimesNewRomanPS"/>
          <w:i/>
          <w:iCs/>
          <w:sz w:val="28"/>
          <w:szCs w:val="28"/>
        </w:rPr>
        <w:t>̈</w:t>
      </w:r>
      <w:r>
        <w:rPr>
          <w:rFonts w:ascii="Garamond" w:hAnsi="Garamond"/>
          <w:i/>
          <w:iCs/>
          <w:sz w:val="28"/>
          <w:szCs w:val="28"/>
        </w:rPr>
        <w:t>t der Person. Zum Versprechen und Vertrauen</w:t>
      </w:r>
      <w:r>
        <w:rPr>
          <w:rFonts w:ascii="Garamond" w:hAnsi="Garamond"/>
          <w:sz w:val="28"/>
          <w:szCs w:val="28"/>
        </w:rPr>
        <w:t xml:space="preserve">, hg. v. Richard Schenk, Stuttgart-Bad Cannstatt 1989, 147–177. </w:t>
      </w:r>
    </w:p>
    <w:p w14:paraId="0A34FA21" w14:textId="73B679F6" w:rsidR="00971A2F" w:rsidRPr="00971A2F" w:rsidRDefault="00971A2F" w:rsidP="00971A2F">
      <w:pPr>
        <w:tabs>
          <w:tab w:val="left" w:pos="1870"/>
        </w:tabs>
      </w:pPr>
    </w:p>
    <w:sectPr w:rsidR="00971A2F" w:rsidRPr="00971A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F01"/>
    <w:multiLevelType w:val="multilevel"/>
    <w:tmpl w:val="B2B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512D"/>
    <w:multiLevelType w:val="multilevel"/>
    <w:tmpl w:val="BFB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150B7"/>
    <w:multiLevelType w:val="multilevel"/>
    <w:tmpl w:val="A8BE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F1099"/>
    <w:multiLevelType w:val="multilevel"/>
    <w:tmpl w:val="DC9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A6F0B"/>
    <w:multiLevelType w:val="hybridMultilevel"/>
    <w:tmpl w:val="FC5C1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47AF"/>
    <w:multiLevelType w:val="hybridMultilevel"/>
    <w:tmpl w:val="33AEEC50"/>
    <w:lvl w:ilvl="0" w:tplc="D1146236">
      <w:start w:val="1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8BE"/>
    <w:multiLevelType w:val="multilevel"/>
    <w:tmpl w:val="908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12782"/>
    <w:multiLevelType w:val="multilevel"/>
    <w:tmpl w:val="B8D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D46E3"/>
    <w:multiLevelType w:val="hybridMultilevel"/>
    <w:tmpl w:val="AFF4D3BE"/>
    <w:lvl w:ilvl="0" w:tplc="DB8AF8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2387A"/>
    <w:multiLevelType w:val="multilevel"/>
    <w:tmpl w:val="A2E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55AFE"/>
    <w:multiLevelType w:val="multilevel"/>
    <w:tmpl w:val="1F2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3096E"/>
    <w:multiLevelType w:val="multilevel"/>
    <w:tmpl w:val="DCB6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23706"/>
    <w:multiLevelType w:val="multilevel"/>
    <w:tmpl w:val="5C3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720CB"/>
    <w:multiLevelType w:val="multilevel"/>
    <w:tmpl w:val="93A4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124A5"/>
    <w:multiLevelType w:val="multilevel"/>
    <w:tmpl w:val="F99E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7080C"/>
    <w:multiLevelType w:val="multilevel"/>
    <w:tmpl w:val="EA2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92998"/>
    <w:multiLevelType w:val="hybridMultilevel"/>
    <w:tmpl w:val="E6EC8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37942"/>
    <w:multiLevelType w:val="hybridMultilevel"/>
    <w:tmpl w:val="C0F4E326"/>
    <w:lvl w:ilvl="0" w:tplc="D4FC7CD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E3BD3"/>
    <w:multiLevelType w:val="multilevel"/>
    <w:tmpl w:val="A8F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4C1AF7"/>
    <w:multiLevelType w:val="multilevel"/>
    <w:tmpl w:val="7DEC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762828">
    <w:abstractNumId w:val="8"/>
  </w:num>
  <w:num w:numId="2" w16cid:durableId="510920516">
    <w:abstractNumId w:val="17"/>
  </w:num>
  <w:num w:numId="3" w16cid:durableId="762646374">
    <w:abstractNumId w:val="4"/>
  </w:num>
  <w:num w:numId="4" w16cid:durableId="1289748882">
    <w:abstractNumId w:val="5"/>
  </w:num>
  <w:num w:numId="5" w16cid:durableId="1799564228">
    <w:abstractNumId w:val="3"/>
  </w:num>
  <w:num w:numId="6" w16cid:durableId="612832076">
    <w:abstractNumId w:val="11"/>
  </w:num>
  <w:num w:numId="7" w16cid:durableId="312292824">
    <w:abstractNumId w:val="18"/>
  </w:num>
  <w:num w:numId="8" w16cid:durableId="546449415">
    <w:abstractNumId w:val="0"/>
  </w:num>
  <w:num w:numId="9" w16cid:durableId="1306007221">
    <w:abstractNumId w:val="13"/>
  </w:num>
  <w:num w:numId="10" w16cid:durableId="771248567">
    <w:abstractNumId w:val="10"/>
  </w:num>
  <w:num w:numId="11" w16cid:durableId="1406150343">
    <w:abstractNumId w:val="6"/>
  </w:num>
  <w:num w:numId="12" w16cid:durableId="1885630679">
    <w:abstractNumId w:val="12"/>
  </w:num>
  <w:num w:numId="13" w16cid:durableId="357782530">
    <w:abstractNumId w:val="15"/>
  </w:num>
  <w:num w:numId="14" w16cid:durableId="1566913284">
    <w:abstractNumId w:val="1"/>
  </w:num>
  <w:num w:numId="15" w16cid:durableId="118647909">
    <w:abstractNumId w:val="14"/>
  </w:num>
  <w:num w:numId="16" w16cid:durableId="1038090245">
    <w:abstractNumId w:val="9"/>
  </w:num>
  <w:num w:numId="17" w16cid:durableId="1462188209">
    <w:abstractNumId w:val="7"/>
  </w:num>
  <w:num w:numId="18" w16cid:durableId="542670235">
    <w:abstractNumId w:val="19"/>
  </w:num>
  <w:num w:numId="19" w16cid:durableId="1854301808">
    <w:abstractNumId w:val="2"/>
  </w:num>
  <w:num w:numId="20" w16cid:durableId="87510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A6"/>
    <w:rsid w:val="00062B4A"/>
    <w:rsid w:val="00091F78"/>
    <w:rsid w:val="000E2C48"/>
    <w:rsid w:val="000E3546"/>
    <w:rsid w:val="00141DB4"/>
    <w:rsid w:val="00157DD3"/>
    <w:rsid w:val="00166062"/>
    <w:rsid w:val="001B21A3"/>
    <w:rsid w:val="001E2696"/>
    <w:rsid w:val="002068D1"/>
    <w:rsid w:val="002269F0"/>
    <w:rsid w:val="002417F9"/>
    <w:rsid w:val="002A126C"/>
    <w:rsid w:val="002B6EB5"/>
    <w:rsid w:val="002E248F"/>
    <w:rsid w:val="00313B14"/>
    <w:rsid w:val="00320C62"/>
    <w:rsid w:val="00340CF6"/>
    <w:rsid w:val="00471C62"/>
    <w:rsid w:val="004837AB"/>
    <w:rsid w:val="00485D7E"/>
    <w:rsid w:val="004B7B93"/>
    <w:rsid w:val="004C2F3F"/>
    <w:rsid w:val="004E32FA"/>
    <w:rsid w:val="00563D4B"/>
    <w:rsid w:val="005832F0"/>
    <w:rsid w:val="005C2C66"/>
    <w:rsid w:val="005E4894"/>
    <w:rsid w:val="00611B20"/>
    <w:rsid w:val="00634F98"/>
    <w:rsid w:val="00640E27"/>
    <w:rsid w:val="006F2750"/>
    <w:rsid w:val="0070586C"/>
    <w:rsid w:val="00715C30"/>
    <w:rsid w:val="00745349"/>
    <w:rsid w:val="007F622B"/>
    <w:rsid w:val="007F7C7A"/>
    <w:rsid w:val="00806663"/>
    <w:rsid w:val="008B6015"/>
    <w:rsid w:val="008F2B7D"/>
    <w:rsid w:val="00971A2F"/>
    <w:rsid w:val="00976B21"/>
    <w:rsid w:val="00997B70"/>
    <w:rsid w:val="00A16BAF"/>
    <w:rsid w:val="00A16BED"/>
    <w:rsid w:val="00AC0441"/>
    <w:rsid w:val="00AC2494"/>
    <w:rsid w:val="00AC380A"/>
    <w:rsid w:val="00AC58A6"/>
    <w:rsid w:val="00AD75DB"/>
    <w:rsid w:val="00B015BF"/>
    <w:rsid w:val="00B035EB"/>
    <w:rsid w:val="00B90809"/>
    <w:rsid w:val="00B96C61"/>
    <w:rsid w:val="00CC010B"/>
    <w:rsid w:val="00D414E1"/>
    <w:rsid w:val="00D9518D"/>
    <w:rsid w:val="00D97364"/>
    <w:rsid w:val="00DA1157"/>
    <w:rsid w:val="00DA792D"/>
    <w:rsid w:val="00DD1AA4"/>
    <w:rsid w:val="00E12F2F"/>
    <w:rsid w:val="00E5460F"/>
    <w:rsid w:val="00E63B83"/>
    <w:rsid w:val="00EC54C3"/>
    <w:rsid w:val="00ED1032"/>
    <w:rsid w:val="00ED4DA8"/>
    <w:rsid w:val="00F31F7A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027F"/>
  <w15:chartTrackingRefBased/>
  <w15:docId w15:val="{838ECDA4-2DFE-469C-A01D-B585218A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F7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4F98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B6EB5"/>
  </w:style>
  <w:style w:type="character" w:styleId="Hyperlink">
    <w:name w:val="Hyperlink"/>
    <w:basedOn w:val="Absatz-Standardschriftart"/>
    <w:uiPriority w:val="99"/>
    <w:unhideWhenUsed/>
    <w:rsid w:val="002B6EB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C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F2750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C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editsection">
    <w:name w:val="mw-editsection"/>
    <w:basedOn w:val="Absatz-Standardschriftart"/>
    <w:rsid w:val="007F7C7A"/>
  </w:style>
  <w:style w:type="character" w:customStyle="1" w:styleId="mw-editsection-bracket">
    <w:name w:val="mw-editsection-bracket"/>
    <w:basedOn w:val="Absatz-Standardschriftart"/>
    <w:rsid w:val="007F7C7A"/>
  </w:style>
  <w:style w:type="character" w:customStyle="1" w:styleId="mw-editsection-divider">
    <w:name w:val="mw-editsection-divider"/>
    <w:basedOn w:val="Absatz-Standardschriftart"/>
    <w:rsid w:val="007F7C7A"/>
  </w:style>
  <w:style w:type="paragraph" w:styleId="StandardWeb">
    <w:name w:val="Normal (Web)"/>
    <w:basedOn w:val="Standard"/>
    <w:uiPriority w:val="99"/>
    <w:unhideWhenUsed/>
    <w:rsid w:val="007F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7F7C7A"/>
    <w:rPr>
      <w:i/>
      <w:iCs/>
    </w:rPr>
  </w:style>
  <w:style w:type="character" w:customStyle="1" w:styleId="mw-cite-backlink">
    <w:name w:val="mw-cite-backlink"/>
    <w:basedOn w:val="Absatz-Standardschriftart"/>
    <w:rsid w:val="007F7C7A"/>
  </w:style>
  <w:style w:type="character" w:customStyle="1" w:styleId="cite-accessibility-label">
    <w:name w:val="cite-accessibility-label"/>
    <w:basedOn w:val="Absatz-Standardschriftart"/>
    <w:rsid w:val="007F7C7A"/>
  </w:style>
  <w:style w:type="character" w:customStyle="1" w:styleId="reference-text">
    <w:name w:val="reference-text"/>
    <w:basedOn w:val="Absatz-Standardschriftart"/>
    <w:rsid w:val="007F7C7A"/>
  </w:style>
  <w:style w:type="character" w:styleId="Hervorhebung">
    <w:name w:val="Emphasis"/>
    <w:basedOn w:val="Absatz-Standardschriftart"/>
    <w:uiPriority w:val="20"/>
    <w:qFormat/>
    <w:rsid w:val="00320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6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3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19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30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33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02F7-94C9-46E0-8F98-71E5F7FA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Helbin</dc:creator>
  <cp:keywords/>
  <dc:description/>
  <cp:lastModifiedBy>Richard Schenk</cp:lastModifiedBy>
  <cp:revision>22</cp:revision>
  <dcterms:created xsi:type="dcterms:W3CDTF">2022-05-26T18:56:00Z</dcterms:created>
  <dcterms:modified xsi:type="dcterms:W3CDTF">2024-07-22T06:22:00Z</dcterms:modified>
</cp:coreProperties>
</file>